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方正小标宋_GBK" w:hAnsi="方正小标宋_GBK" w:eastAsia="方正小标宋_GBK" w:cs="方正小标宋_GBK"/>
          <w:b/>
          <w:bCs/>
          <w:sz w:val="32"/>
          <w:szCs w:val="32"/>
          <w:lang w:val="en-US" w:eastAsia="zh-CN"/>
        </w:rPr>
      </w:pPr>
      <w:r>
        <w:rPr>
          <w:rFonts w:hint="eastAsia" w:ascii="方正小标宋_GBK" w:hAnsi="方正小标宋_GBK" w:eastAsia="方正小标宋_GBK" w:cs="方正小标宋_GBK"/>
          <w:b/>
          <w:bCs/>
          <w:sz w:val="32"/>
          <w:szCs w:val="32"/>
          <w:lang w:eastAsia="zh-CN"/>
        </w:rPr>
        <w:t>附件</w:t>
      </w:r>
    </w:p>
    <w:p>
      <w:pPr>
        <w:spacing w:line="360" w:lineRule="auto"/>
        <w:jc w:val="center"/>
        <w:rPr>
          <w:rFonts w:hint="eastAsia" w:ascii="方正小标宋_GBK" w:hAnsi="方正小标宋_GBK" w:eastAsia="方正小标宋_GBK" w:cs="方正小标宋_GBK"/>
          <w:b/>
          <w:bCs/>
          <w:sz w:val="32"/>
          <w:szCs w:val="32"/>
        </w:rPr>
      </w:pPr>
      <w:r>
        <w:rPr>
          <w:rFonts w:hint="eastAsia" w:ascii="方正小标宋_GBK" w:hAnsi="方正小标宋_GBK" w:eastAsia="方正小标宋_GBK" w:cs="方正小标宋_GBK"/>
          <w:b/>
          <w:bCs/>
          <w:sz w:val="32"/>
          <w:szCs w:val="32"/>
        </w:rPr>
        <w:t>关于“</w:t>
      </w:r>
      <w:r>
        <w:rPr>
          <w:rFonts w:hint="eastAsia" w:ascii="方正小标宋_GBK" w:hAnsi="方正小标宋_GBK" w:eastAsia="方正小标宋_GBK" w:cs="方正小标宋_GBK"/>
          <w:b/>
          <w:bCs/>
          <w:sz w:val="32"/>
          <w:szCs w:val="32"/>
          <w:lang w:eastAsia="zh-CN"/>
        </w:rPr>
        <w:t>四川体育职业学院</w:t>
      </w:r>
      <w:r>
        <w:rPr>
          <w:rFonts w:hint="eastAsia" w:ascii="方正小标宋_GBK" w:hAnsi="方正小标宋_GBK" w:eastAsia="方正小标宋_GBK" w:cs="方正小标宋_GBK"/>
          <w:b/>
          <w:bCs/>
          <w:sz w:val="32"/>
          <w:szCs w:val="32"/>
          <w:lang w:val="en-US" w:eastAsia="zh-CN"/>
        </w:rPr>
        <w:t>2026年文印服务</w:t>
      </w:r>
      <w:r>
        <w:rPr>
          <w:rFonts w:hint="eastAsia" w:ascii="方正小标宋_GBK" w:hAnsi="方正小标宋_GBK" w:eastAsia="方正小标宋_GBK" w:cs="方正小标宋_GBK"/>
          <w:b/>
          <w:bCs/>
          <w:sz w:val="32"/>
          <w:szCs w:val="32"/>
        </w:rPr>
        <w:t>”的需求调查书</w:t>
      </w:r>
    </w:p>
    <w:p>
      <w:pPr>
        <w:spacing w:line="360" w:lineRule="auto"/>
        <w:jc w:val="center"/>
        <w:rPr>
          <w:rFonts w:ascii="宋体" w:hAnsi="宋体" w:eastAsia="宋体" w:cs="宋体"/>
          <w:b/>
          <w:bCs/>
          <w:sz w:val="32"/>
          <w:szCs w:val="32"/>
        </w:rPr>
      </w:pPr>
    </w:p>
    <w:p>
      <w:pPr>
        <w:spacing w:line="360" w:lineRule="auto"/>
        <w:rPr>
          <w:rFonts w:hint="default" w:ascii="宋体" w:hAnsi="宋体" w:eastAsia="宋体" w:cs="宋体"/>
          <w:b/>
          <w:bCs/>
          <w:sz w:val="24"/>
          <w:szCs w:val="24"/>
          <w:lang w:val="en-US" w:eastAsia="zh-CN"/>
        </w:rPr>
      </w:pPr>
      <w:r>
        <w:rPr>
          <w:rFonts w:hint="eastAsia" w:ascii="宋体" w:hAnsi="宋体" w:eastAsia="宋体" w:cs="宋体"/>
          <w:b/>
          <w:bCs/>
          <w:sz w:val="24"/>
          <w:szCs w:val="24"/>
        </w:rPr>
        <w:t>一、项目</w:t>
      </w:r>
      <w:r>
        <w:rPr>
          <w:rFonts w:hint="eastAsia" w:ascii="宋体" w:hAnsi="宋体" w:eastAsia="宋体" w:cs="宋体"/>
          <w:b/>
          <w:bCs/>
          <w:sz w:val="24"/>
          <w:szCs w:val="24"/>
          <w:lang w:val="en-US" w:eastAsia="zh-CN"/>
        </w:rPr>
        <w:t>采购清单</w:t>
      </w:r>
    </w:p>
    <w:tbl>
      <w:tblPr>
        <w:tblStyle w:val="15"/>
        <w:tblW w:w="9597" w:type="dxa"/>
        <w:jc w:val="center"/>
        <w:tblBorders>
          <w:top w:val="double" w:color="000000" w:sz="4" w:space="0"/>
          <w:left w:val="double" w:color="000000" w:sz="4" w:space="0"/>
          <w:bottom w:val="double" w:color="000000" w:sz="4" w:space="0"/>
          <w:right w:val="double" w:color="000000" w:sz="4" w:space="0"/>
          <w:insideH w:val="double" w:color="000000" w:sz="4" w:space="0"/>
          <w:insideV w:val="double" w:color="000000" w:sz="4" w:space="0"/>
        </w:tblBorders>
        <w:shd w:val="clear" w:color="auto" w:fill="auto"/>
        <w:tblLayout w:type="fixed"/>
        <w:tblCellMar>
          <w:top w:w="0" w:type="dxa"/>
          <w:left w:w="108" w:type="dxa"/>
          <w:bottom w:w="0" w:type="dxa"/>
          <w:right w:w="108" w:type="dxa"/>
        </w:tblCellMar>
      </w:tblPr>
      <w:tblGrid>
        <w:gridCol w:w="1877"/>
        <w:gridCol w:w="5107"/>
        <w:gridCol w:w="2613"/>
      </w:tblGrid>
      <w:tr>
        <w:tblPrEx>
          <w:tblBorders>
            <w:top w:val="double" w:color="000000" w:sz="4" w:space="0"/>
            <w:left w:val="double" w:color="000000" w:sz="4" w:space="0"/>
            <w:bottom w:val="double" w:color="000000" w:sz="4" w:space="0"/>
            <w:right w:val="double" w:color="000000" w:sz="4" w:space="0"/>
            <w:insideH w:val="double" w:color="000000" w:sz="4" w:space="0"/>
            <w:insideV w:val="double" w:color="000000" w:sz="4" w:space="0"/>
          </w:tblBorders>
          <w:shd w:val="clear" w:color="auto" w:fill="auto"/>
          <w:tblCellMar>
            <w:top w:w="0" w:type="dxa"/>
            <w:left w:w="108" w:type="dxa"/>
            <w:bottom w:w="0" w:type="dxa"/>
            <w:right w:w="108" w:type="dxa"/>
          </w:tblCellMar>
        </w:tblPrEx>
        <w:trPr>
          <w:trHeight w:val="442" w:hRule="atLeast"/>
          <w:jc w:val="center"/>
        </w:trPr>
        <w:tc>
          <w:tcPr>
            <w:tcW w:w="187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510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tblPrEx>
          <w:tblBorders>
            <w:top w:val="double" w:color="000000" w:sz="4" w:space="0"/>
            <w:left w:val="double" w:color="000000" w:sz="4" w:space="0"/>
            <w:bottom w:val="double" w:color="000000" w:sz="4" w:space="0"/>
            <w:right w:val="double" w:color="000000" w:sz="4" w:space="0"/>
            <w:insideH w:val="double" w:color="000000" w:sz="4" w:space="0"/>
            <w:insideV w:val="double" w:color="000000" w:sz="4" w:space="0"/>
          </w:tblBorders>
          <w:shd w:val="clear" w:color="auto" w:fill="auto"/>
          <w:tblCellMar>
            <w:top w:w="0" w:type="dxa"/>
            <w:left w:w="108" w:type="dxa"/>
            <w:bottom w:w="0" w:type="dxa"/>
            <w:right w:w="108" w:type="dxa"/>
          </w:tblCellMar>
        </w:tblPrEx>
        <w:trPr>
          <w:trHeight w:val="442" w:hRule="atLeast"/>
          <w:jc w:val="center"/>
        </w:trPr>
        <w:tc>
          <w:tcPr>
            <w:tcW w:w="1877"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107"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2026年文印服务</w:t>
            </w:r>
          </w:p>
        </w:tc>
        <w:tc>
          <w:tcPr>
            <w:tcW w:w="2613" w:type="dxa"/>
            <w:tcBorders>
              <w:tl2br w:val="nil"/>
              <w:tr2bl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Style w:val="25"/>
                <w:rFonts w:hint="eastAsia" w:ascii="宋体" w:hAnsi="宋体" w:eastAsia="宋体" w:cs="宋体"/>
                <w:sz w:val="24"/>
                <w:szCs w:val="24"/>
                <w:lang w:val="en-US" w:eastAsia="zh-CN" w:bidi="ar"/>
              </w:rPr>
              <w:t>1项</w:t>
            </w:r>
          </w:p>
        </w:tc>
      </w:tr>
    </w:tbl>
    <w:p>
      <w:pPr>
        <w:pStyle w:val="9"/>
      </w:pPr>
    </w:p>
    <w:p>
      <w:pPr>
        <w:pStyle w:val="22"/>
        <w:autoSpaceDE/>
        <w:autoSpaceDN/>
        <w:snapToGrid w:val="0"/>
        <w:spacing w:line="360" w:lineRule="auto"/>
        <w:outlineLvl w:val="1"/>
        <w:rPr>
          <w:rFonts w:hAnsi="宋体"/>
          <w:b/>
          <w:bCs/>
          <w:kern w:val="2"/>
        </w:rPr>
      </w:pPr>
      <w:r>
        <w:rPr>
          <w:rFonts w:hint="eastAsia" w:hAnsi="宋体"/>
          <w:b/>
          <w:bCs/>
        </w:rPr>
        <w:t>二、</w:t>
      </w:r>
      <w:r>
        <w:rPr>
          <w:rFonts w:hint="eastAsia" w:hAnsi="宋体"/>
          <w:b/>
          <w:bCs/>
          <w:kern w:val="2"/>
        </w:rPr>
        <w:t>采购需求</w:t>
      </w:r>
    </w:p>
    <w:tbl>
      <w:tblPr>
        <w:tblStyle w:val="15"/>
        <w:tblW w:w="6615" w:type="pct"/>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471"/>
        <w:gridCol w:w="1214"/>
        <w:gridCol w:w="760"/>
        <w:gridCol w:w="8830"/>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636" w:hRule="atLeast"/>
          <w:jc w:val="center"/>
        </w:trPr>
        <w:tc>
          <w:tcPr>
            <w:tcW w:w="208" w:type="pct"/>
            <w:tcBorders>
              <w:tl2br w:val="nil"/>
              <w:tr2bl w:val="nil"/>
            </w:tcBorders>
            <w:shd w:val="clear" w:color="auto" w:fill="auto"/>
            <w:vAlign w:val="center"/>
          </w:tcPr>
          <w:p>
            <w:pPr>
              <w:widowControl/>
              <w:jc w:val="center"/>
              <w:textAlignment w:val="center"/>
              <w:rPr>
                <w:rFonts w:hint="eastAsia" w:ascii="宋体" w:hAnsi="宋体" w:eastAsia="宋体" w:cs="宋体"/>
                <w:b/>
                <w:bCs/>
                <w:sz w:val="24"/>
                <w:szCs w:val="24"/>
                <w:lang w:eastAsia="zh-CN" w:bidi="ar"/>
              </w:rPr>
            </w:pPr>
            <w:r>
              <w:rPr>
                <w:rFonts w:hint="eastAsia" w:ascii="宋体" w:hAnsi="宋体" w:eastAsia="宋体" w:cs="宋体"/>
                <w:b/>
                <w:bCs/>
                <w:sz w:val="24"/>
                <w:szCs w:val="24"/>
                <w:lang w:eastAsia="zh-CN" w:bidi="ar"/>
              </w:rPr>
              <w:t>序号</w:t>
            </w:r>
          </w:p>
        </w:tc>
        <w:tc>
          <w:tcPr>
            <w:tcW w:w="538" w:type="pct"/>
            <w:tcBorders>
              <w:tl2br w:val="nil"/>
              <w:tr2bl w:val="nil"/>
            </w:tcBorders>
            <w:shd w:val="clear" w:color="auto" w:fill="auto"/>
            <w:vAlign w:val="center"/>
          </w:tcPr>
          <w:p>
            <w:pPr>
              <w:widowControl/>
              <w:jc w:val="center"/>
              <w:textAlignment w:val="center"/>
              <w:rPr>
                <w:rFonts w:hint="eastAsia" w:ascii="宋体" w:hAnsi="宋体" w:eastAsia="宋体" w:cs="宋体"/>
                <w:b/>
                <w:bCs/>
                <w:sz w:val="24"/>
                <w:szCs w:val="24"/>
                <w:lang w:eastAsia="zh-CN" w:bidi="ar"/>
              </w:rPr>
            </w:pPr>
            <w:r>
              <w:rPr>
                <w:rFonts w:hint="eastAsia" w:ascii="宋体" w:hAnsi="宋体" w:eastAsia="宋体" w:cs="宋体"/>
                <w:b/>
                <w:bCs/>
                <w:sz w:val="24"/>
                <w:szCs w:val="24"/>
                <w:lang w:eastAsia="zh-CN" w:bidi="ar"/>
              </w:rPr>
              <w:t>设备名称</w:t>
            </w:r>
          </w:p>
        </w:tc>
        <w:tc>
          <w:tcPr>
            <w:tcW w:w="337" w:type="pct"/>
            <w:tcBorders>
              <w:tl2br w:val="nil"/>
              <w:tr2bl w:val="nil"/>
            </w:tcBorders>
            <w:shd w:val="clear" w:color="auto" w:fill="auto"/>
            <w:noWrap/>
            <w:vAlign w:val="center"/>
          </w:tcPr>
          <w:p>
            <w:pPr>
              <w:widowControl/>
              <w:jc w:val="center"/>
              <w:textAlignment w:val="center"/>
              <w:rPr>
                <w:rFonts w:hint="eastAsia" w:ascii="宋体" w:hAnsi="宋体" w:eastAsia="宋体" w:cs="宋体"/>
                <w:b/>
                <w:bCs/>
                <w:sz w:val="24"/>
                <w:szCs w:val="24"/>
                <w:lang w:eastAsia="zh-CN" w:bidi="ar"/>
              </w:rPr>
            </w:pPr>
            <w:r>
              <w:rPr>
                <w:rFonts w:hint="eastAsia" w:ascii="宋体" w:hAnsi="宋体" w:eastAsia="宋体" w:cs="宋体"/>
                <w:b/>
                <w:bCs/>
                <w:sz w:val="24"/>
                <w:szCs w:val="24"/>
                <w:lang w:eastAsia="zh-CN" w:bidi="ar"/>
              </w:rPr>
              <w:t>数量</w:t>
            </w:r>
          </w:p>
        </w:tc>
        <w:tc>
          <w:tcPr>
            <w:tcW w:w="3915" w:type="pct"/>
            <w:tcBorders>
              <w:tl2br w:val="nil"/>
              <w:tr2bl w:val="nil"/>
            </w:tcBorders>
            <w:shd w:val="clear" w:color="auto" w:fill="auto"/>
            <w:vAlign w:val="center"/>
          </w:tcPr>
          <w:p>
            <w:pPr>
              <w:widowControl/>
              <w:jc w:val="center"/>
              <w:textAlignment w:val="center"/>
              <w:rPr>
                <w:rFonts w:hint="default" w:ascii="宋体" w:hAnsi="宋体" w:eastAsia="宋体" w:cs="宋体"/>
                <w:b/>
                <w:bCs/>
                <w:sz w:val="24"/>
                <w:szCs w:val="24"/>
                <w:lang w:val="en-US" w:eastAsia="zh-CN" w:bidi="ar"/>
              </w:rPr>
            </w:pPr>
            <w:r>
              <w:rPr>
                <w:rFonts w:hint="eastAsia" w:ascii="宋体" w:hAnsi="宋体" w:eastAsia="宋体" w:cs="宋体"/>
                <w:b/>
                <w:bCs/>
                <w:sz w:val="24"/>
                <w:szCs w:val="24"/>
                <w:lang w:val="en-US" w:eastAsia="zh-CN" w:bidi="ar"/>
              </w:rPr>
              <w:t>服务内容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202" w:hRule="atLeast"/>
          <w:jc w:val="center"/>
        </w:trPr>
        <w:tc>
          <w:tcPr>
            <w:tcW w:w="208" w:type="pct"/>
            <w:tcBorders>
              <w:tl2br w:val="nil"/>
              <w:tr2bl w:val="nil"/>
            </w:tcBorders>
            <w:shd w:val="clear" w:color="auto" w:fill="auto"/>
            <w:vAlign w:val="center"/>
          </w:tcPr>
          <w:p>
            <w:pPr>
              <w:widowControl/>
              <w:jc w:val="center"/>
              <w:textAlignment w:val="center"/>
              <w:rPr>
                <w:rFonts w:hint="eastAsia" w:ascii="宋体" w:hAnsi="宋体" w:eastAsia="宋体" w:cs="宋体"/>
                <w:sz w:val="24"/>
                <w:szCs w:val="24"/>
                <w:lang w:eastAsia="zh-CN" w:bidi="ar"/>
              </w:rPr>
            </w:pPr>
            <w:r>
              <w:rPr>
                <w:rFonts w:hint="eastAsia" w:ascii="宋体" w:hAnsi="宋体" w:eastAsia="宋体" w:cs="宋体"/>
                <w:sz w:val="24"/>
                <w:szCs w:val="24"/>
                <w:lang w:eastAsia="zh-CN" w:bidi="ar"/>
              </w:rPr>
              <w:t>1</w:t>
            </w:r>
          </w:p>
        </w:tc>
        <w:tc>
          <w:tcPr>
            <w:tcW w:w="538" w:type="pct"/>
            <w:tcBorders>
              <w:tl2br w:val="nil"/>
              <w:tr2bl w:val="nil"/>
            </w:tcBorders>
            <w:shd w:val="clear" w:color="auto" w:fill="auto"/>
            <w:vAlign w:val="center"/>
          </w:tcPr>
          <w:p>
            <w:pPr>
              <w:widowControl/>
              <w:jc w:val="center"/>
              <w:textAlignment w:val="center"/>
              <w:rPr>
                <w:rFonts w:hint="default" w:ascii="宋体" w:hAnsi="宋体" w:eastAsia="宋体" w:cs="宋体"/>
                <w:sz w:val="24"/>
                <w:szCs w:val="24"/>
                <w:lang w:val="en-US" w:eastAsia="zh-CN" w:bidi="ar"/>
              </w:rPr>
            </w:pPr>
            <w:r>
              <w:rPr>
                <w:rFonts w:hint="eastAsia" w:ascii="宋体" w:hAnsi="宋体" w:eastAsia="宋体" w:cs="宋体"/>
                <w:i w:val="0"/>
                <w:iCs w:val="0"/>
                <w:color w:val="000000"/>
                <w:sz w:val="24"/>
                <w:szCs w:val="24"/>
                <w:u w:val="none"/>
                <w:lang w:val="en-US" w:eastAsia="zh-CN"/>
              </w:rPr>
              <w:t>2026年文印服务</w:t>
            </w:r>
          </w:p>
        </w:tc>
        <w:tc>
          <w:tcPr>
            <w:tcW w:w="337" w:type="pct"/>
            <w:tcBorders>
              <w:tl2br w:val="nil"/>
              <w:tr2bl w:val="nil"/>
            </w:tcBorders>
            <w:shd w:val="clear" w:color="auto" w:fill="auto"/>
            <w:noWrap/>
            <w:vAlign w:val="center"/>
          </w:tcPr>
          <w:p>
            <w:pPr>
              <w:widowControl/>
              <w:jc w:val="center"/>
              <w:textAlignment w:val="center"/>
              <w:rPr>
                <w:rFonts w:hint="default" w:ascii="宋体" w:hAnsi="宋体" w:eastAsia="宋体" w:cs="宋体"/>
                <w:sz w:val="24"/>
                <w:szCs w:val="24"/>
                <w:lang w:val="en-US" w:eastAsia="zh-CN" w:bidi="ar"/>
              </w:rPr>
            </w:pPr>
            <w:r>
              <w:rPr>
                <w:rFonts w:hint="eastAsia" w:ascii="宋体" w:hAnsi="宋体" w:eastAsia="宋体" w:cs="宋体"/>
                <w:sz w:val="24"/>
                <w:szCs w:val="24"/>
                <w:lang w:val="en-US" w:eastAsia="zh-CN" w:bidi="ar"/>
              </w:rPr>
              <w:t>1项</w:t>
            </w:r>
          </w:p>
        </w:tc>
        <w:tc>
          <w:tcPr>
            <w:tcW w:w="3915" w:type="pct"/>
            <w:tcBorders>
              <w:tl2br w:val="nil"/>
              <w:tr2bl w:val="nil"/>
            </w:tcBorders>
            <w:shd w:val="clear" w:color="auto" w:fill="auto"/>
            <w:vAlign w:val="center"/>
          </w:tcPr>
          <w:p>
            <w:pPr>
              <w:widowControl/>
              <w:numPr>
                <w:numId w:val="0"/>
              </w:numPr>
              <w:textAlignment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一、服务内容</w:t>
            </w:r>
          </w:p>
          <w:p>
            <w:pPr>
              <w:widowControl/>
              <w:numPr>
                <w:numId w:val="0"/>
              </w:numPr>
              <w:textAlignment w:val="center"/>
              <w:rPr>
                <w:rFonts w:hint="eastAsia"/>
                <w:lang w:eastAsia="zh-CN"/>
              </w:rPr>
            </w:pPr>
            <w:r>
              <w:rPr>
                <w:rFonts w:hint="eastAsia"/>
                <w:lang w:val="en-US" w:eastAsia="zh-CN"/>
              </w:rPr>
              <w:t>1、</w:t>
            </w:r>
            <w:r>
              <w:rPr>
                <w:rFonts w:hint="eastAsia"/>
                <w:lang w:eastAsia="zh-CN"/>
              </w:rPr>
              <w:t>按照相关文书规则（《党政机关公文格式》），规范文件资料格式，确保文件资料印刷及时准确清晰；</w:t>
            </w:r>
            <w:r>
              <w:rPr>
                <w:rFonts w:hint="eastAsia"/>
                <w:lang w:val="en-US" w:eastAsia="zh-CN"/>
              </w:rPr>
              <w:t>负责</w:t>
            </w:r>
            <w:r>
              <w:rPr>
                <w:rFonts w:hint="eastAsia"/>
                <w:lang w:eastAsia="zh-CN"/>
              </w:rPr>
              <w:t>文字效对、排版、复印、印刷和装订；</w:t>
            </w:r>
          </w:p>
          <w:p>
            <w:pPr>
              <w:widowControl/>
              <w:numPr>
                <w:ilvl w:val="0"/>
                <w:numId w:val="2"/>
              </w:numPr>
              <w:textAlignment w:val="center"/>
              <w:rPr>
                <w:rFonts w:hint="eastAsia"/>
                <w:lang w:eastAsia="zh-CN"/>
              </w:rPr>
            </w:pPr>
            <w:r>
              <w:rPr>
                <w:rFonts w:hint="eastAsia"/>
                <w:lang w:eastAsia="zh-CN"/>
              </w:rPr>
              <w:t>严格履行文件资料印刷的审批、登记工作；</w:t>
            </w:r>
          </w:p>
          <w:p>
            <w:pPr>
              <w:widowControl/>
              <w:numPr>
                <w:ilvl w:val="0"/>
                <w:numId w:val="2"/>
              </w:numPr>
              <w:textAlignment w:val="center"/>
              <w:rPr>
                <w:rFonts w:hint="eastAsia"/>
                <w:lang w:eastAsia="zh-CN"/>
              </w:rPr>
            </w:pPr>
            <w:r>
              <w:rPr>
                <w:rFonts w:hint="eastAsia"/>
                <w:lang w:eastAsia="zh-CN"/>
              </w:rPr>
              <w:t>做好文印设备及耗材的使用与保管，保持文印环境室内整洁；</w:t>
            </w:r>
          </w:p>
          <w:p>
            <w:pPr>
              <w:widowControl/>
              <w:numPr>
                <w:ilvl w:val="0"/>
                <w:numId w:val="2"/>
              </w:numPr>
              <w:textAlignment w:val="center"/>
              <w:rPr>
                <w:rFonts w:hint="eastAsia"/>
                <w:lang w:eastAsia="zh-CN"/>
              </w:rPr>
            </w:pPr>
            <w:r>
              <w:rPr>
                <w:rFonts w:hint="eastAsia"/>
                <w:lang w:eastAsia="zh-CN"/>
              </w:rPr>
              <w:t>做好防火、防盗、防潮等防范措施，杜绝安全隐患；</w:t>
            </w:r>
          </w:p>
          <w:p>
            <w:pPr>
              <w:widowControl/>
              <w:numPr>
                <w:ilvl w:val="0"/>
                <w:numId w:val="2"/>
              </w:numPr>
              <w:textAlignment w:val="center"/>
              <w:rPr>
                <w:rFonts w:hint="eastAsia"/>
                <w:lang w:eastAsia="zh-CN"/>
              </w:rPr>
            </w:pPr>
            <w:r>
              <w:rPr>
                <w:rFonts w:hint="eastAsia"/>
                <w:lang w:eastAsia="zh-CN"/>
              </w:rPr>
              <w:t>严格遵守保密规定，加强保密教育，并做好保密工作；</w:t>
            </w:r>
          </w:p>
          <w:p>
            <w:pPr>
              <w:widowControl/>
              <w:numPr>
                <w:ilvl w:val="0"/>
                <w:numId w:val="2"/>
              </w:numPr>
              <w:textAlignment w:val="center"/>
              <w:rPr>
                <w:rFonts w:hint="eastAsia"/>
                <w:lang w:eastAsia="zh-CN"/>
              </w:rPr>
            </w:pPr>
            <w:r>
              <w:rPr>
                <w:rFonts w:hint="eastAsia"/>
                <w:lang w:val="en-US" w:eastAsia="zh-CN"/>
              </w:rPr>
              <w:t>至少配备2名文印服务人员。</w:t>
            </w:r>
          </w:p>
          <w:p>
            <w:pPr>
              <w:widowControl/>
              <w:numPr>
                <w:ilvl w:val="0"/>
                <w:numId w:val="0"/>
              </w:numPr>
              <w:textAlignment w:val="center"/>
              <w:rPr>
                <w:rFonts w:hint="eastAsia"/>
                <w:lang w:val="en-US" w:eastAsia="zh-CN"/>
              </w:rPr>
            </w:pPr>
            <w:r>
              <w:rPr>
                <w:rFonts w:hint="eastAsia"/>
                <w:lang w:val="en-US" w:eastAsia="zh-CN"/>
              </w:rPr>
              <w:t>人员匹配要求：</w:t>
            </w:r>
          </w:p>
          <w:p>
            <w:pPr>
              <w:widowControl/>
              <w:numPr>
                <w:ilvl w:val="0"/>
                <w:numId w:val="0"/>
              </w:numPr>
              <w:textAlignment w:val="center"/>
              <w:rPr>
                <w:rFonts w:hint="eastAsia"/>
                <w:lang w:val="en-US" w:eastAsia="zh-CN"/>
              </w:rPr>
            </w:pPr>
            <w:r>
              <w:rPr>
                <w:rFonts w:hint="eastAsia"/>
                <w:lang w:val="en-US" w:eastAsia="zh-CN"/>
              </w:rPr>
              <w:t>（1）.身体健康，无重大疾病、精神病史；大专及以上学历，文秘、党员优先；</w:t>
            </w:r>
          </w:p>
          <w:p>
            <w:pPr>
              <w:widowControl/>
              <w:numPr>
                <w:ilvl w:val="0"/>
                <w:numId w:val="0"/>
              </w:numPr>
              <w:textAlignment w:val="center"/>
              <w:rPr>
                <w:rFonts w:hint="eastAsia"/>
                <w:lang w:val="en-US" w:eastAsia="zh-CN"/>
              </w:rPr>
            </w:pPr>
            <w:r>
              <w:rPr>
                <w:rFonts w:hint="eastAsia"/>
                <w:lang w:val="en-US" w:eastAsia="zh-CN"/>
              </w:rPr>
              <w:t>（2）熟练操作Office办公软件（Word/Excel/PPT）、打印机等设备；</w:t>
            </w:r>
          </w:p>
          <w:p>
            <w:pPr>
              <w:widowControl/>
              <w:numPr>
                <w:ilvl w:val="0"/>
                <w:numId w:val="0"/>
              </w:numPr>
              <w:textAlignment w:val="center"/>
              <w:rPr>
                <w:rFonts w:hint="eastAsia"/>
                <w:lang w:val="en-US" w:eastAsia="zh-CN"/>
              </w:rPr>
            </w:pPr>
            <w:r>
              <w:rPr>
                <w:rFonts w:hint="eastAsia"/>
                <w:lang w:val="en-US" w:eastAsia="zh-CN"/>
              </w:rPr>
              <w:t>（3）具备基础排版能力，对字体、格式敏感；</w:t>
            </w:r>
          </w:p>
          <w:p>
            <w:pPr>
              <w:widowControl/>
              <w:numPr>
                <w:ilvl w:val="0"/>
                <w:numId w:val="0"/>
              </w:numPr>
              <w:textAlignment w:val="center"/>
              <w:rPr>
                <w:rFonts w:hint="eastAsia"/>
                <w:lang w:val="en-US" w:eastAsia="zh-CN"/>
              </w:rPr>
            </w:pPr>
            <w:r>
              <w:rPr>
                <w:rFonts w:hint="eastAsia"/>
                <w:lang w:val="en-US" w:eastAsia="zh-CN"/>
              </w:rPr>
              <w:t>（4）耐心细致，责任心强，能高效处理重复性工作；</w:t>
            </w:r>
          </w:p>
          <w:p>
            <w:pPr>
              <w:widowControl/>
              <w:numPr>
                <w:ilvl w:val="0"/>
                <w:numId w:val="0"/>
              </w:numPr>
              <w:textAlignment w:val="center"/>
              <w:rPr>
                <w:rFonts w:hint="eastAsia"/>
                <w:lang w:val="en-US" w:eastAsia="zh-CN"/>
              </w:rPr>
            </w:pPr>
            <w:r>
              <w:rPr>
                <w:rFonts w:hint="eastAsia"/>
                <w:lang w:val="en-US" w:eastAsia="zh-CN"/>
              </w:rPr>
              <w:t>（5）具备2年(含2年)以上文印工作经验；</w:t>
            </w:r>
          </w:p>
          <w:p>
            <w:pPr>
              <w:widowControl/>
              <w:numPr>
                <w:ilvl w:val="0"/>
                <w:numId w:val="0"/>
              </w:numPr>
              <w:textAlignment w:val="center"/>
              <w:rPr>
                <w:rFonts w:hint="eastAsia"/>
                <w:lang w:val="en-US" w:eastAsia="zh-CN"/>
              </w:rPr>
            </w:pPr>
            <w:r>
              <w:rPr>
                <w:rFonts w:hint="eastAsia"/>
                <w:lang w:val="en-US" w:eastAsia="zh-CN"/>
              </w:rPr>
              <w:t>（6）能接受临时性加班。</w:t>
            </w:r>
          </w:p>
          <w:p>
            <w:pPr>
              <w:widowControl/>
              <w:numPr>
                <w:ilvl w:val="0"/>
                <w:numId w:val="0"/>
              </w:numPr>
              <w:textAlignment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二、服务要求</w:t>
            </w:r>
          </w:p>
          <w:p>
            <w:pPr>
              <w:widowControl/>
              <w:numPr>
                <w:ilvl w:val="0"/>
                <w:numId w:val="0"/>
              </w:numPr>
              <w:textAlignment w:val="center"/>
              <w:rPr>
                <w:rFonts w:hint="eastAsia"/>
                <w:lang w:val="en-US" w:eastAsia="zh-CN"/>
              </w:rPr>
            </w:pPr>
            <w:r>
              <w:rPr>
                <w:rFonts w:hint="eastAsia"/>
                <w:lang w:val="en-US" w:eastAsia="zh-CN"/>
              </w:rPr>
              <w:t>1、供应商应确保文印岗位全天候人员在岗。如会务、文印人员因请假、调休等原因缺勤，供应商须在【1】小时内安排同等资质人员替补，确保不影响采购人正常文印服务。如因特殊情况需更换文印人员的，应征得采购人同意。</w:t>
            </w:r>
          </w:p>
          <w:p>
            <w:pPr>
              <w:widowControl/>
              <w:numPr>
                <w:ilvl w:val="0"/>
                <w:numId w:val="0"/>
              </w:numPr>
              <w:textAlignment w:val="center"/>
              <w:rPr>
                <w:rFonts w:hint="eastAsia"/>
                <w:lang w:val="en-US" w:eastAsia="zh-CN"/>
              </w:rPr>
            </w:pPr>
            <w:r>
              <w:rPr>
                <w:rFonts w:hint="eastAsia"/>
                <w:lang w:val="en-US" w:eastAsia="zh-CN"/>
              </w:rPr>
              <w:t>2、保守国家秘密和工作秘密，严格执行涉密载体、涉密网络、保密设备等相关保密管理规定，不得擅自提供文件资料给不相关人员。</w:t>
            </w:r>
          </w:p>
          <w:p>
            <w:pPr>
              <w:widowControl/>
              <w:numPr>
                <w:ilvl w:val="0"/>
                <w:numId w:val="0"/>
              </w:numPr>
              <w:textAlignment w:val="center"/>
              <w:rPr>
                <w:rFonts w:hint="eastAsia"/>
                <w:lang w:val="en-US" w:eastAsia="zh-CN"/>
              </w:rPr>
            </w:pPr>
            <w:r>
              <w:rPr>
                <w:rFonts w:hint="eastAsia"/>
                <w:lang w:val="en-US" w:eastAsia="zh-CN"/>
              </w:rPr>
              <w:t>3、文印人员上班期间须统一发型、统一妆容、统一服装（四季工作服由供应商提供）、仪态得体，确保干净整洁，无头屑、无异味、无纹身；</w:t>
            </w:r>
          </w:p>
          <w:p>
            <w:pPr>
              <w:widowControl/>
              <w:numPr>
                <w:ilvl w:val="0"/>
                <w:numId w:val="0"/>
              </w:numPr>
              <w:textAlignment w:val="center"/>
              <w:rPr>
                <w:rFonts w:hint="eastAsia"/>
                <w:lang w:val="en-US" w:eastAsia="zh-CN"/>
              </w:rPr>
            </w:pPr>
            <w:r>
              <w:rPr>
                <w:rFonts w:hint="eastAsia"/>
                <w:lang w:val="en-US" w:eastAsia="zh-CN"/>
              </w:rPr>
              <w:t>4、政治立场坚定，具有吃苦耐劳精神，保密意识、服从意识、团队意识、责任意识等；</w:t>
            </w:r>
          </w:p>
          <w:p>
            <w:pPr>
              <w:widowControl/>
              <w:numPr>
                <w:ilvl w:val="0"/>
                <w:numId w:val="0"/>
              </w:numPr>
              <w:textAlignment w:val="center"/>
              <w:rPr>
                <w:rFonts w:hint="eastAsia"/>
                <w:lang w:val="en-US" w:eastAsia="zh-CN"/>
              </w:rPr>
            </w:pPr>
            <w:r>
              <w:rPr>
                <w:rFonts w:hint="eastAsia"/>
                <w:lang w:val="en-US" w:eastAsia="zh-CN"/>
              </w:rPr>
              <w:t>5、文印人员须严格执行采购人工作纪律、规章制度、工作流程及管理要求，根据工作需要统筹安排加班、值班，不得迟到早退。若因特殊情况，需要调整、增加工作时间，服务人员必须服从采购人工作安排；采购人有权对违反其制度的人员提出调换要求，成交供应商应在3个工作日内予以协调解决。</w:t>
            </w:r>
          </w:p>
          <w:p>
            <w:pPr>
              <w:widowControl/>
              <w:numPr>
                <w:ilvl w:val="0"/>
                <w:numId w:val="0"/>
              </w:numPr>
              <w:textAlignment w:val="center"/>
              <w:rPr>
                <w:rFonts w:hint="eastAsia"/>
                <w:lang w:val="en-US" w:eastAsia="zh-CN"/>
              </w:rPr>
            </w:pPr>
            <w:r>
              <w:rPr>
                <w:rFonts w:hint="eastAsia"/>
                <w:lang w:val="en-US" w:eastAsia="zh-CN"/>
              </w:rPr>
              <w:t>（6）文印人员身体健康，无重大疾病、精神病史。合同签订时供应商须向采购人提供所有岗位服务人员医院出具的个人体检报告或健康体检类的证明；</w:t>
            </w:r>
          </w:p>
          <w:p>
            <w:pPr>
              <w:widowControl/>
              <w:numPr>
                <w:ilvl w:val="0"/>
                <w:numId w:val="0"/>
              </w:numPr>
              <w:textAlignment w:val="center"/>
              <w:rPr>
                <w:rFonts w:hint="eastAsia"/>
                <w:lang w:val="en-US" w:eastAsia="zh-CN"/>
              </w:rPr>
            </w:pPr>
            <w:r>
              <w:rPr>
                <w:rFonts w:hint="eastAsia"/>
                <w:lang w:val="en-US" w:eastAsia="zh-CN"/>
              </w:rPr>
              <w:t>（7）所有文印人员均无违法犯罪记录，未受到过公安机关行政拘留或以上的行政处罚和刑法处罚；</w:t>
            </w:r>
          </w:p>
          <w:p>
            <w:pPr>
              <w:widowControl/>
              <w:numPr>
                <w:ilvl w:val="0"/>
                <w:numId w:val="0"/>
              </w:numPr>
              <w:textAlignment w:val="center"/>
              <w:rPr>
                <w:rFonts w:hint="default"/>
                <w:lang w:val="en-US" w:eastAsia="zh-CN"/>
              </w:rPr>
            </w:pPr>
            <w:r>
              <w:rPr>
                <w:rFonts w:hint="eastAsia"/>
                <w:lang w:val="en-US" w:eastAsia="zh-CN"/>
              </w:rPr>
              <w:t>（8）供应商应当定期组织人员进行法律法规、业务、技能等专业知识培训、考核。</w:t>
            </w:r>
          </w:p>
        </w:tc>
      </w:tr>
    </w:tbl>
    <w:p>
      <w:pPr>
        <w:spacing w:line="360" w:lineRule="auto"/>
        <w:rPr>
          <w:rFonts w:ascii="宋体" w:hAnsi="宋体" w:eastAsia="宋体" w:cs="宋体"/>
          <w:b/>
          <w:bCs/>
          <w:sz w:val="24"/>
          <w:szCs w:val="24"/>
        </w:rPr>
      </w:pPr>
      <w:r>
        <w:rPr>
          <w:rFonts w:hint="eastAsia" w:ascii="宋体" w:hAnsi="宋体" w:eastAsia="宋体" w:cs="宋体"/>
          <w:b/>
          <w:bCs/>
          <w:sz w:val="24"/>
          <w:szCs w:val="24"/>
        </w:rPr>
        <w:t>三、需求调查内容：</w:t>
      </w:r>
    </w:p>
    <w:p>
      <w:pPr>
        <w:pStyle w:val="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textAlignment w:val="baseline"/>
        <w:rPr>
          <w:rFonts w:hint="default" w:eastAsia="宋体" w:cs="宋体"/>
          <w:color w:val="auto"/>
          <w:kern w:val="2"/>
          <w:sz w:val="24"/>
          <w:szCs w:val="24"/>
          <w:lang w:val="en-US" w:eastAsia="zh-CN" w:bidi="ar-SA"/>
        </w:rPr>
      </w:pPr>
      <w:r>
        <w:rPr>
          <w:rFonts w:hint="default" w:eastAsia="宋体" w:cs="宋体"/>
          <w:color w:val="auto"/>
          <w:kern w:val="2"/>
          <w:sz w:val="24"/>
          <w:szCs w:val="24"/>
          <w:lang w:val="en-US" w:eastAsia="zh-CN" w:bidi="ar-SA"/>
        </w:rPr>
        <w:t>（一）提供本次采购服务内容的相关产业发展、市场供给、同类采购项目历史成交信息，可能涉及的其他相关情况。</w:t>
      </w:r>
    </w:p>
    <w:p>
      <w:pPr>
        <w:pStyle w:val="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jc w:val="left"/>
        <w:textAlignment w:val="baseline"/>
        <w:rPr>
          <w:rFonts w:hint="default" w:eastAsia="宋体" w:cs="宋体"/>
          <w:color w:val="auto"/>
          <w:kern w:val="2"/>
          <w:sz w:val="24"/>
          <w:szCs w:val="24"/>
          <w:lang w:val="en-US" w:eastAsia="zh-CN" w:bidi="ar-SA"/>
        </w:rPr>
      </w:pPr>
      <w:r>
        <w:rPr>
          <w:rFonts w:hint="default" w:eastAsia="宋体" w:cs="宋体"/>
          <w:color w:val="auto"/>
          <w:kern w:val="2"/>
          <w:sz w:val="24"/>
          <w:szCs w:val="24"/>
          <w:lang w:val="en-US" w:eastAsia="zh-CN" w:bidi="ar-SA"/>
        </w:rPr>
        <w:t>（二）针对本项目能够提供的具体服务内容。</w:t>
      </w:r>
    </w:p>
    <w:p>
      <w:pPr>
        <w:pStyle w:val="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jc w:val="left"/>
        <w:textAlignment w:val="baseline"/>
        <w:rPr>
          <w:rFonts w:hint="default" w:eastAsia="宋体" w:cs="宋体"/>
          <w:color w:val="auto"/>
          <w:kern w:val="2"/>
          <w:sz w:val="24"/>
          <w:szCs w:val="24"/>
          <w:lang w:val="en-US" w:eastAsia="zh-CN" w:bidi="ar-SA"/>
        </w:rPr>
      </w:pPr>
      <w:r>
        <w:rPr>
          <w:rFonts w:hint="default" w:eastAsia="宋体" w:cs="宋体"/>
          <w:color w:val="auto"/>
          <w:kern w:val="2"/>
          <w:sz w:val="24"/>
          <w:szCs w:val="24"/>
          <w:lang w:val="en-US" w:eastAsia="zh-CN" w:bidi="ar-SA"/>
        </w:rPr>
        <w:t>（三）针对本项目的商务要求，如付款要求、服务人员的配置数量、服务岗位的配置等。</w:t>
      </w:r>
    </w:p>
    <w:p>
      <w:pPr>
        <w:pStyle w:val="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jc w:val="left"/>
        <w:textAlignment w:val="baseline"/>
        <w:rPr>
          <w:rFonts w:hint="eastAsia" w:cs="宋体"/>
          <w:color w:val="auto"/>
          <w:kern w:val="2"/>
          <w:sz w:val="24"/>
          <w:szCs w:val="24"/>
          <w:lang w:val="en-US" w:eastAsia="zh-CN" w:bidi="ar-SA"/>
        </w:rPr>
      </w:pPr>
      <w:r>
        <w:rPr>
          <w:rFonts w:hint="default" w:eastAsia="宋体" w:cs="宋体"/>
          <w:color w:val="auto"/>
          <w:kern w:val="2"/>
          <w:sz w:val="24"/>
          <w:szCs w:val="24"/>
          <w:lang w:val="en-US" w:eastAsia="zh-CN" w:bidi="ar-SA"/>
        </w:rPr>
        <w:t>（四）针对本项目的费用构成</w:t>
      </w:r>
      <w:r>
        <w:rPr>
          <w:rFonts w:hint="eastAsia" w:cs="宋体"/>
          <w:color w:val="auto"/>
          <w:kern w:val="2"/>
          <w:sz w:val="24"/>
          <w:szCs w:val="24"/>
          <w:lang w:val="en-US" w:eastAsia="zh-CN" w:bidi="ar-SA"/>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480" w:firstLineChars="200"/>
        <w:jc w:val="left"/>
        <w:textAlignment w:val="baseline"/>
        <w:rPr>
          <w:rFonts w:hint="default" w:eastAsia="宋体" w:cs="宋体"/>
          <w:color w:val="auto"/>
          <w:kern w:val="2"/>
          <w:sz w:val="24"/>
          <w:szCs w:val="24"/>
          <w:lang w:val="en-US" w:eastAsia="zh-CN" w:bidi="ar-SA"/>
        </w:rPr>
      </w:pPr>
      <w:r>
        <w:rPr>
          <w:rFonts w:hint="default" w:eastAsia="宋体" w:cs="宋体"/>
          <w:color w:val="auto"/>
          <w:kern w:val="2"/>
          <w:sz w:val="24"/>
          <w:szCs w:val="24"/>
          <w:lang w:val="en-US" w:eastAsia="zh-CN" w:bidi="ar-SA"/>
        </w:rPr>
        <w:t>（五）</w:t>
      </w:r>
      <w:r>
        <w:rPr>
          <w:rFonts w:hint="eastAsia" w:eastAsia="宋体" w:cs="宋体"/>
          <w:color w:val="auto"/>
          <w:kern w:val="2"/>
          <w:sz w:val="24"/>
          <w:szCs w:val="24"/>
          <w:lang w:val="en-US" w:eastAsia="zh-CN" w:bidi="ar-SA"/>
        </w:rPr>
        <w:t>本项目目前的采购需求是否合理</w:t>
      </w:r>
      <w:r>
        <w:rPr>
          <w:rFonts w:hint="default" w:eastAsia="宋体" w:cs="宋体"/>
          <w:color w:val="auto"/>
          <w:kern w:val="2"/>
          <w:sz w:val="24"/>
          <w:szCs w:val="24"/>
          <w:lang w:val="en-US" w:eastAsia="zh-CN" w:bidi="ar-SA"/>
        </w:rPr>
        <w:t>。</w:t>
      </w:r>
    </w:p>
    <w:p>
      <w:pPr>
        <w:spacing w:line="360" w:lineRule="auto"/>
        <w:ind w:firstLine="480"/>
        <w:rPr>
          <w:rFonts w:hint="eastAsia" w:eastAsia="宋体" w:cs="宋体"/>
          <w:color w:val="auto"/>
          <w:kern w:val="2"/>
          <w:sz w:val="24"/>
          <w:szCs w:val="24"/>
          <w:lang w:val="en-US" w:eastAsia="zh-CN" w:bidi="ar-SA"/>
        </w:rPr>
      </w:pPr>
      <w:r>
        <w:rPr>
          <w:rFonts w:hint="eastAsia" w:eastAsia="宋体" w:cs="宋体"/>
          <w:color w:val="auto"/>
          <w:kern w:val="2"/>
          <w:sz w:val="24"/>
          <w:szCs w:val="24"/>
          <w:lang w:val="en-US" w:eastAsia="zh-CN" w:bidi="ar-SA"/>
        </w:rPr>
        <w:t xml:space="preserve">（六）其他意见  </w:t>
      </w:r>
    </w:p>
    <w:p>
      <w:pPr>
        <w:pStyle w:val="2"/>
        <w:rPr>
          <w:rFonts w:hint="default"/>
          <w:lang w:val="en-US" w:eastAsia="zh-CN"/>
        </w:rPr>
      </w:pPr>
    </w:p>
    <w:p>
      <w:pPr>
        <w:spacing w:line="360" w:lineRule="auto"/>
        <w:ind w:firstLine="480"/>
        <w:rPr>
          <w:rFonts w:hint="eastAsia" w:eastAsia="宋体" w:cs="宋体"/>
          <w:color w:val="auto"/>
          <w:kern w:val="2"/>
          <w:sz w:val="24"/>
          <w:szCs w:val="24"/>
          <w:lang w:val="en-US" w:eastAsia="zh-CN" w:bidi="ar-SA"/>
        </w:rPr>
      </w:pPr>
      <w:r>
        <w:rPr>
          <w:rFonts w:hint="eastAsia" w:eastAsia="宋体" w:cs="宋体"/>
          <w:color w:val="auto"/>
          <w:kern w:val="2"/>
          <w:sz w:val="24"/>
          <w:szCs w:val="24"/>
          <w:lang w:val="en-US" w:eastAsia="zh-CN" w:bidi="ar-SA"/>
        </w:rPr>
        <w:t xml:space="preserve">   </w:t>
      </w:r>
    </w:p>
    <w:p>
      <w:pPr>
        <w:tabs>
          <w:tab w:val="left" w:pos="2425"/>
        </w:tabs>
        <w:spacing w:line="360" w:lineRule="auto"/>
        <w:ind w:firstLine="480" w:firstLineChars="200"/>
        <w:rPr>
          <w:rFonts w:ascii="宋体" w:hAnsi="宋体" w:eastAsia="宋体" w:cs="宋体"/>
          <w:color w:val="auto"/>
          <w:sz w:val="24"/>
          <w:szCs w:val="24"/>
        </w:rPr>
      </w:pP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eastAsia="宋体" w:cs="宋体"/>
          <w:color w:val="auto"/>
          <w:sz w:val="24"/>
          <w:szCs w:val="24"/>
        </w:rPr>
        <w:t xml:space="preserve">   四川体育职业学院</w:t>
      </w:r>
    </w:p>
    <w:p>
      <w:pPr>
        <w:spacing w:line="360" w:lineRule="auto"/>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202</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17</w:t>
      </w:r>
      <w:r>
        <w:rPr>
          <w:rFonts w:hint="eastAsia" w:ascii="宋体" w:hAnsi="宋体" w:eastAsia="宋体" w:cs="宋体"/>
          <w:color w:val="auto"/>
          <w:sz w:val="24"/>
          <w:szCs w:val="24"/>
        </w:rPr>
        <w:t>日</w:t>
      </w:r>
    </w:p>
    <w:p>
      <w:r>
        <w:rPr>
          <w:rFonts w:hint="eastAsia"/>
        </w:rPr>
        <w:br w:type="page"/>
      </w:r>
    </w:p>
    <w:tbl>
      <w:tblPr>
        <w:tblStyle w:val="16"/>
        <w:tblW w:w="10536"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840"/>
        <w:gridCol w:w="2383"/>
        <w:gridCol w:w="6113"/>
        <w:gridCol w:w="1200"/>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PrEx>
        <w:trPr>
          <w:jc w:val="center"/>
        </w:trPr>
        <w:tc>
          <w:tcPr>
            <w:tcW w:w="10536" w:type="dxa"/>
            <w:gridSpan w:val="4"/>
            <w:tcBorders>
              <w:tl2br w:val="nil"/>
              <w:tr2bl w:val="nil"/>
            </w:tcBorders>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lang w:eastAsia="zh-CN"/>
              </w:rPr>
              <w:t>四川体育职业学院</w:t>
            </w:r>
            <w:r>
              <w:rPr>
                <w:rFonts w:hint="eastAsia" w:ascii="宋体" w:hAnsi="宋体" w:eastAsia="宋体" w:cs="宋体"/>
                <w:b/>
                <w:bCs/>
                <w:sz w:val="24"/>
                <w:szCs w:val="24"/>
                <w:lang w:val="en-US" w:eastAsia="zh-CN"/>
              </w:rPr>
              <w:t>2026年文印服务</w:t>
            </w:r>
            <w:r>
              <w:rPr>
                <w:rFonts w:hint="eastAsia" w:ascii="宋体" w:hAnsi="宋体" w:eastAsia="宋体" w:cs="宋体"/>
                <w:b/>
                <w:bCs/>
                <w:sz w:val="24"/>
                <w:szCs w:val="24"/>
              </w:rPr>
              <w:t>需求调查意见表</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vAlign w:val="center"/>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383" w:type="dxa"/>
            <w:tcBorders>
              <w:tl2br w:val="nil"/>
              <w:tr2bl w:val="nil"/>
            </w:tcBorders>
            <w:vAlign w:val="center"/>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需求调查内容</w:t>
            </w:r>
          </w:p>
        </w:tc>
        <w:tc>
          <w:tcPr>
            <w:tcW w:w="6113" w:type="dxa"/>
            <w:tcBorders>
              <w:tl2br w:val="nil"/>
              <w:tr2bl w:val="nil"/>
            </w:tcBorders>
            <w:vAlign w:val="center"/>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回复内容</w:t>
            </w:r>
          </w:p>
        </w:tc>
        <w:tc>
          <w:tcPr>
            <w:tcW w:w="1200" w:type="dxa"/>
            <w:tcBorders>
              <w:tl2br w:val="nil"/>
              <w:tr2bl w:val="nil"/>
            </w:tcBorders>
            <w:vAlign w:val="center"/>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备注</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1</w:t>
            </w:r>
          </w:p>
        </w:tc>
        <w:tc>
          <w:tcPr>
            <w:tcW w:w="2383" w:type="dxa"/>
            <w:tcBorders>
              <w:tl2br w:val="nil"/>
              <w:tr2bl w:val="nil"/>
            </w:tcBorders>
          </w:tcPr>
          <w:p>
            <w:pPr>
              <w:spacing w:line="360" w:lineRule="auto"/>
              <w:jc w:val="left"/>
              <w:rPr>
                <w:rFonts w:ascii="宋体" w:hAnsi="宋体" w:eastAsia="宋体" w:cs="宋体"/>
                <w:b/>
                <w:bCs/>
                <w:sz w:val="24"/>
                <w:szCs w:val="24"/>
              </w:rPr>
            </w:pPr>
            <w:r>
              <w:rPr>
                <w:rFonts w:hint="default" w:eastAsia="宋体" w:cs="宋体"/>
                <w:color w:val="auto"/>
                <w:kern w:val="2"/>
                <w:sz w:val="24"/>
                <w:szCs w:val="24"/>
                <w:lang w:val="en-US" w:eastAsia="zh-CN" w:bidi="ar-SA"/>
              </w:rPr>
              <w:t>本次采购服务内容的相关产业发展、市场供给、同类采购项目历史成交信息，可能涉及的运行维护、升级更新、备品备件、耗材等后续采购，以及其他相关情况</w:t>
            </w:r>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2</w:t>
            </w:r>
          </w:p>
        </w:tc>
        <w:tc>
          <w:tcPr>
            <w:tcW w:w="2383" w:type="dxa"/>
            <w:tcBorders>
              <w:tl2br w:val="nil"/>
              <w:tr2bl w:val="nil"/>
            </w:tcBorders>
          </w:tcPr>
          <w:p>
            <w:pPr>
              <w:spacing w:line="360" w:lineRule="auto"/>
              <w:jc w:val="left"/>
              <w:rPr>
                <w:rFonts w:ascii="宋体" w:hAnsi="宋体" w:eastAsia="宋体" w:cs="宋体"/>
                <w:b/>
                <w:bCs/>
                <w:sz w:val="24"/>
                <w:szCs w:val="24"/>
              </w:rPr>
            </w:pPr>
            <w:r>
              <w:rPr>
                <w:rFonts w:hint="default" w:eastAsia="宋体" w:cs="宋体"/>
                <w:color w:val="auto"/>
                <w:kern w:val="2"/>
                <w:sz w:val="24"/>
                <w:szCs w:val="24"/>
                <w:lang w:val="en-US" w:eastAsia="zh-CN" w:bidi="ar-SA"/>
              </w:rPr>
              <w:t>针对本项目能够提供的具体服务内容</w:t>
            </w:r>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3</w:t>
            </w:r>
          </w:p>
        </w:tc>
        <w:tc>
          <w:tcPr>
            <w:tcW w:w="2383" w:type="dxa"/>
            <w:tcBorders>
              <w:tl2br w:val="nil"/>
              <w:tr2bl w:val="nil"/>
            </w:tcBorders>
          </w:tcPr>
          <w:p>
            <w:pPr>
              <w:spacing w:line="360" w:lineRule="auto"/>
              <w:jc w:val="left"/>
              <w:rPr>
                <w:rFonts w:ascii="宋体" w:hAnsi="宋体" w:eastAsia="宋体" w:cs="宋体"/>
                <w:b/>
                <w:bCs/>
                <w:sz w:val="24"/>
                <w:szCs w:val="24"/>
              </w:rPr>
            </w:pPr>
            <w:r>
              <w:rPr>
                <w:rFonts w:hint="default" w:eastAsia="宋体" w:cs="宋体"/>
                <w:color w:val="auto"/>
                <w:kern w:val="2"/>
                <w:sz w:val="24"/>
                <w:szCs w:val="24"/>
                <w:lang w:val="en-US" w:eastAsia="zh-CN" w:bidi="ar-SA"/>
              </w:rPr>
              <w:t>针对本项目的商务要求，如付款要求、服务人员的配置数量、服务岗位的配置等</w:t>
            </w:r>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PrEx>
        <w:trPr>
          <w:jc w:val="center"/>
        </w:trPr>
        <w:tc>
          <w:tcPr>
            <w:tcW w:w="840" w:type="dxa"/>
            <w:tcBorders>
              <w:tl2br w:val="nil"/>
              <w:tr2bl w:val="nil"/>
            </w:tcBorders>
          </w:tcPr>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4</w:t>
            </w:r>
          </w:p>
        </w:tc>
        <w:tc>
          <w:tcPr>
            <w:tcW w:w="2383" w:type="dxa"/>
            <w:tcBorders>
              <w:tl2br w:val="nil"/>
              <w:tr2bl w:val="nil"/>
            </w:tcBorders>
          </w:tcPr>
          <w:p>
            <w:pPr>
              <w:spacing w:line="360" w:lineRule="auto"/>
              <w:jc w:val="left"/>
              <w:rPr>
                <w:rFonts w:hint="default" w:ascii="宋体" w:hAnsi="宋体" w:eastAsia="宋体" w:cs="宋体"/>
                <w:b/>
                <w:bCs/>
                <w:sz w:val="24"/>
                <w:szCs w:val="24"/>
                <w:lang w:val="en-US"/>
              </w:rPr>
            </w:pPr>
            <w:r>
              <w:rPr>
                <w:rFonts w:hint="default" w:eastAsia="宋体" w:cs="宋体"/>
                <w:color w:val="auto"/>
                <w:kern w:val="2"/>
                <w:sz w:val="24"/>
                <w:szCs w:val="24"/>
                <w:lang w:val="en-US" w:eastAsia="zh-CN" w:bidi="ar-SA"/>
              </w:rPr>
              <w:t>针对本项目的费用构成，</w:t>
            </w:r>
            <w:r>
              <w:rPr>
                <w:rFonts w:hint="eastAsia" w:eastAsia="宋体" w:cs="宋体"/>
                <w:color w:val="auto"/>
                <w:kern w:val="2"/>
                <w:sz w:val="24"/>
                <w:szCs w:val="24"/>
                <w:lang w:val="en-US" w:eastAsia="zh-CN" w:bidi="ar-SA"/>
              </w:rPr>
              <w:t>总价格</w:t>
            </w:r>
            <w:bookmarkStart w:id="0" w:name="_GoBack"/>
            <w:bookmarkEnd w:id="0"/>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5</w:t>
            </w:r>
          </w:p>
        </w:tc>
        <w:tc>
          <w:tcPr>
            <w:tcW w:w="2383" w:type="dxa"/>
            <w:tcBorders>
              <w:tl2br w:val="nil"/>
              <w:tr2bl w:val="nil"/>
            </w:tcBorders>
          </w:tcPr>
          <w:p>
            <w:pPr>
              <w:spacing w:line="360" w:lineRule="auto"/>
              <w:jc w:val="left"/>
              <w:rPr>
                <w:rFonts w:ascii="宋体" w:hAnsi="宋体" w:eastAsia="宋体" w:cs="宋体"/>
                <w:sz w:val="24"/>
                <w:szCs w:val="24"/>
              </w:rPr>
            </w:pPr>
            <w:r>
              <w:rPr>
                <w:rFonts w:hint="eastAsia" w:ascii="宋体" w:hAnsi="宋体" w:eastAsia="宋体" w:cs="宋体"/>
                <w:sz w:val="24"/>
                <w:szCs w:val="24"/>
              </w:rPr>
              <w:t>本项目目前的采购需求是否合理</w:t>
            </w:r>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pPr>
              <w:spacing w:line="360" w:lineRule="auto"/>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6</w:t>
            </w:r>
          </w:p>
        </w:tc>
        <w:tc>
          <w:tcPr>
            <w:tcW w:w="2383" w:type="dxa"/>
            <w:tcBorders>
              <w:tl2br w:val="nil"/>
              <w:tr2bl w:val="nil"/>
            </w:tcBorders>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其他建议意见</w:t>
            </w:r>
          </w:p>
        </w:tc>
        <w:tc>
          <w:tcPr>
            <w:tcW w:w="6113" w:type="dxa"/>
            <w:tcBorders>
              <w:tl2br w:val="nil"/>
              <w:tr2bl w:val="nil"/>
            </w:tcBorders>
          </w:tcPr>
          <w:p>
            <w:pPr>
              <w:spacing w:line="360" w:lineRule="auto"/>
              <w:jc w:val="center"/>
              <w:rPr>
                <w:rFonts w:ascii="宋体" w:hAnsi="宋体" w:eastAsia="宋体" w:cs="宋体"/>
                <w:b/>
                <w:bCs/>
                <w:sz w:val="24"/>
                <w:szCs w:val="24"/>
              </w:rPr>
            </w:pPr>
          </w:p>
        </w:tc>
        <w:tc>
          <w:tcPr>
            <w:tcW w:w="1200" w:type="dxa"/>
            <w:tcBorders>
              <w:tl2br w:val="nil"/>
              <w:tr2bl w:val="nil"/>
            </w:tcBorders>
          </w:tcPr>
          <w:p>
            <w:pPr>
              <w:spacing w:line="360" w:lineRule="auto"/>
              <w:jc w:val="center"/>
              <w:rPr>
                <w:rFonts w:ascii="宋体" w:hAnsi="宋体" w:eastAsia="宋体" w:cs="宋体"/>
                <w:b/>
                <w:bCs/>
                <w:sz w:val="24"/>
                <w:szCs w:val="24"/>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PrEx>
        <w:trPr>
          <w:jc w:val="center"/>
        </w:trPr>
        <w:tc>
          <w:tcPr>
            <w:tcW w:w="10536" w:type="dxa"/>
            <w:gridSpan w:val="4"/>
            <w:tcBorders>
              <w:tl2br w:val="nil"/>
              <w:tr2bl w:val="nil"/>
            </w:tcBorders>
          </w:tcPr>
          <w:p>
            <w:pPr>
              <w:spacing w:line="360" w:lineRule="auto"/>
              <w:ind w:firstLine="5040" w:firstLineChars="2100"/>
              <w:rPr>
                <w:rFonts w:ascii="宋体" w:hAnsi="宋体" w:eastAsia="宋体" w:cs="宋体"/>
                <w:sz w:val="24"/>
                <w:szCs w:val="24"/>
              </w:rPr>
            </w:pPr>
            <w:r>
              <w:rPr>
                <w:rFonts w:hint="eastAsia" w:ascii="宋体" w:hAnsi="宋体" w:eastAsia="宋体" w:cs="宋体"/>
                <w:sz w:val="24"/>
                <w:szCs w:val="24"/>
              </w:rPr>
              <w:t>单位名称（盖章）：</w:t>
            </w:r>
          </w:p>
          <w:p>
            <w:pPr>
              <w:spacing w:line="360" w:lineRule="auto"/>
              <w:jc w:val="right"/>
              <w:rPr>
                <w:rFonts w:ascii="宋体" w:hAnsi="宋体" w:eastAsia="宋体" w:cs="宋体"/>
                <w:b/>
                <w:bCs/>
                <w:sz w:val="24"/>
                <w:szCs w:val="24"/>
              </w:rPr>
            </w:pPr>
            <w:r>
              <w:rPr>
                <w:rFonts w:hint="eastAsia" w:ascii="宋体" w:hAnsi="宋体" w:eastAsia="宋体" w:cs="宋体"/>
                <w:sz w:val="24"/>
                <w:szCs w:val="24"/>
              </w:rPr>
              <w:t>日期：     年  月  日</w:t>
            </w:r>
          </w:p>
        </w:tc>
      </w:tr>
    </w:tbl>
    <w:p>
      <w:pPr>
        <w:pStyle w:val="7"/>
        <w:ind w:left="0" w:leftChars="0" w:firstLine="0" w:firstLineChars="0"/>
        <w:rPr>
          <w:rFonts w:hint="eastAsia" w:eastAsiaTheme="minorEastAsia"/>
          <w:b/>
          <w:bCs/>
          <w:sz w:val="24"/>
          <w:szCs w:val="28"/>
          <w:lang w:val="en-US" w:eastAsia="zh-CN"/>
        </w:rPr>
      </w:pPr>
      <w:r>
        <w:rPr>
          <w:rFonts w:hint="eastAsia"/>
          <w:b/>
          <w:bCs/>
          <w:sz w:val="24"/>
          <w:szCs w:val="28"/>
        </w:rPr>
        <w:t>注：以上表格格式并不作为强制性要求，可以根据实际内容增加表格内容或</w:t>
      </w:r>
      <w:r>
        <w:rPr>
          <w:rFonts w:hint="eastAsia"/>
          <w:b/>
          <w:bCs/>
          <w:sz w:val="24"/>
          <w:szCs w:val="28"/>
          <w:lang w:val="en-US" w:eastAsia="zh-CN"/>
        </w:rPr>
        <w:t>附件。</w:t>
      </w:r>
    </w:p>
    <w:sectPr>
      <w:pgSz w:w="11906" w:h="16838"/>
      <w:pgMar w:top="1271"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pStyle w:val="3"/>
      <w:lvlText w:val="%1"/>
      <w:lvlJc w:val="left"/>
      <w:pPr>
        <w:tabs>
          <w:tab w:val="left" w:pos="432"/>
        </w:tabs>
        <w:ind w:left="432" w:hanging="432"/>
      </w:pPr>
      <w:rPr>
        <w:rFonts w:hint="eastAsia"/>
      </w:rPr>
    </w:lvl>
    <w:lvl w:ilvl="1" w:tentative="0">
      <w:start w:val="1"/>
      <w:numFmt w:val="decimal"/>
      <w:pStyle w:val="4"/>
      <w:lvlText w:val="%1.%2"/>
      <w:lvlJc w:val="left"/>
      <w:pPr>
        <w:tabs>
          <w:tab w:val="left" w:pos="681"/>
        </w:tabs>
        <w:ind w:left="681" w:hanging="576"/>
      </w:pPr>
      <w:rPr>
        <w:rFonts w:hint="eastAsia"/>
      </w:rPr>
    </w:lvl>
    <w:lvl w:ilvl="2" w:tentative="0">
      <w:start w:val="1"/>
      <w:numFmt w:val="decimal"/>
      <w:pStyle w:val="5"/>
      <w:lvlText w:val="%1.%2.%3"/>
      <w:lvlJc w:val="left"/>
      <w:pPr>
        <w:tabs>
          <w:tab w:val="left" w:pos="720"/>
        </w:tabs>
        <w:ind w:left="720" w:hanging="720"/>
      </w:pPr>
      <w:rPr>
        <w:rFonts w:hint="eastAsia"/>
      </w:rPr>
    </w:lvl>
    <w:lvl w:ilvl="3" w:tentative="0">
      <w:start w:val="1"/>
      <w:numFmt w:val="decimal"/>
      <w:pStyle w:val="6"/>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2307"/>
        </w:tabs>
        <w:ind w:left="2307"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6003E135"/>
    <w:multiLevelType w:val="singleLevel"/>
    <w:tmpl w:val="6003E13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3NjQxYmZmN2ZkODIxYWNiNTEzMzQyMTZmNzQ1MmMifQ=="/>
  </w:docVars>
  <w:rsids>
    <w:rsidRoot w:val="005C1206"/>
    <w:rsid w:val="00010F36"/>
    <w:rsid w:val="000126E8"/>
    <w:rsid w:val="00101569"/>
    <w:rsid w:val="001D309A"/>
    <w:rsid w:val="0023408C"/>
    <w:rsid w:val="003113E8"/>
    <w:rsid w:val="00322F0F"/>
    <w:rsid w:val="0032493E"/>
    <w:rsid w:val="0055103B"/>
    <w:rsid w:val="005C1206"/>
    <w:rsid w:val="00611E40"/>
    <w:rsid w:val="00653A6B"/>
    <w:rsid w:val="006735D0"/>
    <w:rsid w:val="00684484"/>
    <w:rsid w:val="0071590F"/>
    <w:rsid w:val="008468CB"/>
    <w:rsid w:val="009135CF"/>
    <w:rsid w:val="009A61B1"/>
    <w:rsid w:val="009D7692"/>
    <w:rsid w:val="00A55FA6"/>
    <w:rsid w:val="00A8752E"/>
    <w:rsid w:val="00AE7C50"/>
    <w:rsid w:val="00D604DA"/>
    <w:rsid w:val="00E568B3"/>
    <w:rsid w:val="00F11C8F"/>
    <w:rsid w:val="030516AD"/>
    <w:rsid w:val="04694A2D"/>
    <w:rsid w:val="05707E88"/>
    <w:rsid w:val="06585F98"/>
    <w:rsid w:val="0E7C2B52"/>
    <w:rsid w:val="0E980007"/>
    <w:rsid w:val="0EE42964"/>
    <w:rsid w:val="12E070F9"/>
    <w:rsid w:val="146B5465"/>
    <w:rsid w:val="1740460A"/>
    <w:rsid w:val="196F567B"/>
    <w:rsid w:val="1D2422D8"/>
    <w:rsid w:val="1E0820B6"/>
    <w:rsid w:val="1EDB3684"/>
    <w:rsid w:val="1F470500"/>
    <w:rsid w:val="1F766B70"/>
    <w:rsid w:val="27947577"/>
    <w:rsid w:val="2CBF7B05"/>
    <w:rsid w:val="2E18702B"/>
    <w:rsid w:val="2F283F03"/>
    <w:rsid w:val="3014224E"/>
    <w:rsid w:val="33380434"/>
    <w:rsid w:val="35A85D44"/>
    <w:rsid w:val="364F3007"/>
    <w:rsid w:val="3664588F"/>
    <w:rsid w:val="366E5884"/>
    <w:rsid w:val="37727390"/>
    <w:rsid w:val="3D3E714E"/>
    <w:rsid w:val="3FA4122A"/>
    <w:rsid w:val="3FB35A12"/>
    <w:rsid w:val="409749EB"/>
    <w:rsid w:val="411A7D2C"/>
    <w:rsid w:val="41782A6F"/>
    <w:rsid w:val="41A30CE0"/>
    <w:rsid w:val="420D10F5"/>
    <w:rsid w:val="42541F85"/>
    <w:rsid w:val="42EA2AED"/>
    <w:rsid w:val="46F3403D"/>
    <w:rsid w:val="47B4597E"/>
    <w:rsid w:val="4AB83EDC"/>
    <w:rsid w:val="4B5300A9"/>
    <w:rsid w:val="4BED35C4"/>
    <w:rsid w:val="4C0E53DB"/>
    <w:rsid w:val="4CD524ED"/>
    <w:rsid w:val="4F3F33D0"/>
    <w:rsid w:val="4F441926"/>
    <w:rsid w:val="513C66CD"/>
    <w:rsid w:val="569F76C1"/>
    <w:rsid w:val="5A4968FF"/>
    <w:rsid w:val="5C653C88"/>
    <w:rsid w:val="5CD44B0E"/>
    <w:rsid w:val="5F8B1C26"/>
    <w:rsid w:val="61F620D5"/>
    <w:rsid w:val="63F55D80"/>
    <w:rsid w:val="64122457"/>
    <w:rsid w:val="64F67CF8"/>
    <w:rsid w:val="66AC1952"/>
    <w:rsid w:val="66B270F0"/>
    <w:rsid w:val="67B252C6"/>
    <w:rsid w:val="68303EA4"/>
    <w:rsid w:val="68B07F46"/>
    <w:rsid w:val="6A421EC7"/>
    <w:rsid w:val="6DE309C1"/>
    <w:rsid w:val="6FC75B4D"/>
    <w:rsid w:val="73691968"/>
    <w:rsid w:val="75B25E3B"/>
    <w:rsid w:val="77495ABE"/>
    <w:rsid w:val="775870FA"/>
    <w:rsid w:val="77905715"/>
    <w:rsid w:val="794D6985"/>
    <w:rsid w:val="7A374F77"/>
    <w:rsid w:val="7AF07A71"/>
    <w:rsid w:val="7B7A3EE7"/>
    <w:rsid w:val="7BC95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